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027B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5027B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027BC">
        <w:rPr>
          <w:rFonts w:ascii="Century" w:hAnsi="Century"/>
          <w:b/>
          <w:sz w:val="24"/>
          <w:szCs w:val="24"/>
        </w:rPr>
        <w:t>Ващук Степанії Ільківні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027B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027BC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027BC">
        <w:rPr>
          <w:rFonts w:ascii="Century" w:hAnsi="Century"/>
          <w:sz w:val="24"/>
          <w:szCs w:val="24"/>
        </w:rPr>
        <w:t>Ващук Степанії Ільківні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027B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027BC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027BC">
        <w:rPr>
          <w:rFonts w:ascii="Century" w:hAnsi="Century"/>
          <w:bCs/>
          <w:sz w:val="24"/>
          <w:szCs w:val="24"/>
        </w:rPr>
        <w:t>Ващук Степанії Ільківні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027B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027BC">
        <w:rPr>
          <w:rFonts w:ascii="Century" w:hAnsi="Century"/>
          <w:bCs/>
          <w:sz w:val="24"/>
          <w:szCs w:val="24"/>
        </w:rPr>
        <w:t>1,33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027BC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027BC">
        <w:rPr>
          <w:rFonts w:ascii="Century" w:hAnsi="Century"/>
          <w:bCs/>
          <w:sz w:val="24"/>
          <w:szCs w:val="24"/>
        </w:rPr>
        <w:t>Ващук Степанії Ільківні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027B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027BC">
        <w:rPr>
          <w:rFonts w:ascii="Century" w:hAnsi="Century"/>
          <w:bCs/>
          <w:sz w:val="24"/>
          <w:szCs w:val="24"/>
        </w:rPr>
        <w:t>1,33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027BC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7BC" w:rsidRDefault="005027BC" w:rsidP="00381483">
      <w:pPr>
        <w:spacing w:after="0" w:line="240" w:lineRule="auto"/>
      </w:pPr>
      <w:r>
        <w:separator/>
      </w:r>
    </w:p>
  </w:endnote>
  <w:endnote w:type="continuationSeparator" w:id="0">
    <w:p w:rsidR="005027BC" w:rsidRDefault="005027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7BC" w:rsidRDefault="005027BC" w:rsidP="00381483">
      <w:pPr>
        <w:spacing w:after="0" w:line="240" w:lineRule="auto"/>
      </w:pPr>
      <w:r>
        <w:separator/>
      </w:r>
    </w:p>
  </w:footnote>
  <w:footnote w:type="continuationSeparator" w:id="0">
    <w:p w:rsidR="005027BC" w:rsidRDefault="005027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027BC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